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F3D" w:rsidRPr="009B6F3D" w:rsidRDefault="009B6F3D" w:rsidP="009B6F3D">
      <w:pPr>
        <w:pBdr>
          <w:bottom w:val="single" w:sz="18" w:space="5" w:color="A2A1A1"/>
        </w:pBdr>
        <w:spacing w:after="300" w:line="240" w:lineRule="auto"/>
        <w:ind w:left="-300" w:right="-300"/>
        <w:outlineLvl w:val="0"/>
        <w:rPr>
          <w:rFonts w:ascii="Arial" w:eastAsia="Times New Roman" w:hAnsi="Arial" w:cs="Arial"/>
          <w:b/>
          <w:bCs/>
          <w:caps/>
          <w:color w:val="C41616"/>
          <w:kern w:val="36"/>
          <w:sz w:val="42"/>
          <w:szCs w:val="42"/>
          <w:lang w:eastAsia="ru-RU"/>
        </w:rPr>
      </w:pPr>
      <w:r w:rsidRPr="009B6F3D">
        <w:rPr>
          <w:rFonts w:ascii="Arial" w:eastAsia="Times New Roman" w:hAnsi="Arial" w:cs="Arial"/>
          <w:b/>
          <w:bCs/>
          <w:caps/>
          <w:color w:val="C41616"/>
          <w:kern w:val="36"/>
          <w:sz w:val="42"/>
          <w:szCs w:val="42"/>
          <w:lang w:eastAsia="ru-RU"/>
        </w:rPr>
        <w:t>TIKKURILA HARMONY (ТИККУРИЛА ГАРМОНИЯ) МАТОВАЯ КРАСКА ДЛЯ СТЕН И ПОТОЛКОВ</w:t>
      </w:r>
    </w:p>
    <w:p w:rsidR="009B6F3D" w:rsidRDefault="009B6F3D" w:rsidP="009B6F3D">
      <w:pPr>
        <w:spacing w:before="60" w:after="216" w:line="240" w:lineRule="auto"/>
        <w:jc w:val="both"/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</w:pPr>
      <w:bookmarkStart w:id="0" w:name="_GoBack"/>
      <w:bookmarkEnd w:id="0"/>
    </w:p>
    <w:p w:rsidR="009B6F3D" w:rsidRDefault="009B6F3D" w:rsidP="009B6F3D">
      <w:pPr>
        <w:spacing w:before="60" w:after="216" w:line="240" w:lineRule="auto"/>
        <w:jc w:val="both"/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</w:pPr>
    </w:p>
    <w:p w:rsidR="009B6F3D" w:rsidRDefault="009B6F3D" w:rsidP="009B6F3D">
      <w:pPr>
        <w:spacing w:before="60" w:after="216" w:line="240" w:lineRule="auto"/>
        <w:jc w:val="both"/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</w:pPr>
    </w:p>
    <w:p w:rsidR="009B6F3D" w:rsidRPr="009B6F3D" w:rsidRDefault="009B6F3D" w:rsidP="009B6F3D">
      <w:pPr>
        <w:spacing w:before="60" w:after="216" w:line="240" w:lineRule="auto"/>
        <w:jc w:val="both"/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</w:pPr>
      <w:r w:rsidRPr="009B6F3D"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  <w:t xml:space="preserve">Совершенно матовая краска </w:t>
      </w:r>
      <w:proofErr w:type="spellStart"/>
      <w:r w:rsidRPr="009B6F3D"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  <w:t>тиккурила</w:t>
      </w:r>
      <w:proofErr w:type="spellEnd"/>
      <w:r w:rsidRPr="009B6F3D"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  <w:t xml:space="preserve"> Гармония с бархатным эффектом. Применяется для окраски стен в гостиных, детских комнатах, спальнях и других сухих помещениях. Также может применяться для потолков в сухих помещениях.</w:t>
      </w:r>
    </w:p>
    <w:p w:rsidR="009B6F3D" w:rsidRPr="009B6F3D" w:rsidRDefault="009B6F3D" w:rsidP="009B6F3D">
      <w:pPr>
        <w:spacing w:before="60" w:after="216" w:line="240" w:lineRule="auto"/>
        <w:jc w:val="both"/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</w:pPr>
      <w:r w:rsidRPr="009B6F3D"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  <w:t>Предназначена для интерьерной окраски </w:t>
      </w:r>
      <w:r w:rsidRPr="009B6F3D">
        <w:rPr>
          <w:rFonts w:ascii="Helvetica" w:eastAsia="Times New Roman" w:hAnsi="Helvetica" w:cs="Helvetica"/>
          <w:b/>
          <w:bCs/>
          <w:color w:val="313232"/>
          <w:sz w:val="18"/>
          <w:szCs w:val="18"/>
          <w:lang w:eastAsia="ru-RU"/>
        </w:rPr>
        <w:t>новых и ранее окрашенных</w:t>
      </w:r>
      <w:r w:rsidRPr="009B6F3D">
        <w:rPr>
          <w:rFonts w:ascii="Helvetica" w:eastAsia="Times New Roman" w:hAnsi="Helvetica" w:cs="Helvetica"/>
          <w:color w:val="313232"/>
          <w:sz w:val="18"/>
          <w:szCs w:val="18"/>
          <w:lang w:eastAsia="ru-RU"/>
        </w:rPr>
        <w:t> оштукатуренных, бетонных, зашпатлеванных, кирпичных, картонных, деревянных и гипсокартонных поверхностей, а также древесностружечных и древесноволокнистых плит внутри помещений.</w:t>
      </w:r>
    </w:p>
    <w:p w:rsidR="009B6F3D" w:rsidRPr="009B6F3D" w:rsidRDefault="009B6F3D" w:rsidP="009B6F3D">
      <w:pPr>
        <w:pBdr>
          <w:left w:val="single" w:sz="36" w:space="12" w:color="C41616"/>
        </w:pBdr>
        <w:spacing w:after="264" w:line="240" w:lineRule="auto"/>
        <w:jc w:val="both"/>
        <w:rPr>
          <w:rFonts w:ascii="Helvetica" w:eastAsia="Times New Roman" w:hAnsi="Helvetica" w:cs="Helvetica"/>
          <w:color w:val="C41616"/>
          <w:sz w:val="18"/>
          <w:szCs w:val="18"/>
          <w:lang w:eastAsia="ru-RU"/>
        </w:rPr>
      </w:pPr>
      <w:r w:rsidRPr="009B6F3D">
        <w:rPr>
          <w:rFonts w:ascii="Helvetica" w:eastAsia="Times New Roman" w:hAnsi="Helvetica" w:cs="Helvetica"/>
          <w:b/>
          <w:bCs/>
          <w:color w:val="C41616"/>
          <w:sz w:val="18"/>
          <w:szCs w:val="18"/>
          <w:lang w:eastAsia="ru-RU"/>
        </w:rPr>
        <w:t>Не подходит для окраски дверей и мебели.</w:t>
      </w:r>
    </w:p>
    <w:p w:rsidR="000C65BF" w:rsidRDefault="000C65BF"/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3D"/>
    <w:rsid w:val="000C65BF"/>
    <w:rsid w:val="00445D49"/>
    <w:rsid w:val="009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297E"/>
  <w15:chartTrackingRefBased/>
  <w15:docId w15:val="{AF08EE02-0AFE-4700-9149-E3DF0314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66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2023-02-07T17:54:00Z</dcterms:created>
  <dcterms:modified xsi:type="dcterms:W3CDTF">2023-02-07T17:55:00Z</dcterms:modified>
</cp:coreProperties>
</file>